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51" w:rsidRDefault="000D1F51" w:rsidP="00C95C8D">
      <w:pPr>
        <w:pStyle w:val="2"/>
        <w:shd w:val="clear" w:color="auto" w:fill="FFFFFF"/>
        <w:spacing w:before="0" w:beforeAutospacing="0" w:after="50" w:afterAutospacing="0" w:line="275" w:lineRule="atLeast"/>
        <w:rPr>
          <w:rFonts w:ascii="RobotoMedium" w:hAnsi="RobotoMedium"/>
          <w:b w:val="0"/>
          <w:bCs w:val="0"/>
          <w:color w:val="383838"/>
          <w:spacing w:val="4"/>
          <w:sz w:val="20"/>
          <w:szCs w:val="20"/>
        </w:rPr>
      </w:pPr>
    </w:p>
    <w:p w:rsidR="000D1F51" w:rsidRDefault="000D1F51" w:rsidP="000D1F51">
      <w:pPr>
        <w:pStyle w:val="1"/>
        <w:shd w:val="clear" w:color="auto" w:fill="F3F3F3"/>
        <w:spacing w:before="0" w:after="125"/>
        <w:rPr>
          <w:rFonts w:ascii="Trebuchet MS" w:hAnsi="Trebuchet MS"/>
          <w:b w:val="0"/>
          <w:bCs w:val="0"/>
          <w:color w:val="22252D"/>
          <w:sz w:val="35"/>
          <w:szCs w:val="35"/>
        </w:rPr>
      </w:pPr>
      <w:r>
        <w:rPr>
          <w:rFonts w:ascii="Trebuchet MS" w:hAnsi="Trebuchet MS"/>
          <w:b w:val="0"/>
          <w:bCs w:val="0"/>
          <w:color w:val="22252D"/>
          <w:sz w:val="35"/>
          <w:szCs w:val="35"/>
        </w:rPr>
        <w:t>Противодействие коррупции</w:t>
      </w:r>
    </w:p>
    <w:p w:rsidR="000D1F51" w:rsidRDefault="000D1F51" w:rsidP="000D1F51">
      <w:pPr>
        <w:pStyle w:val="a6"/>
        <w:shd w:val="clear" w:color="auto" w:fill="F3F3F3"/>
        <w:jc w:val="both"/>
        <w:rPr>
          <w:rFonts w:ascii="Trebuchet MS" w:hAnsi="Trebuchet MS"/>
          <w:color w:val="22252D"/>
          <w:sz w:val="18"/>
          <w:szCs w:val="18"/>
        </w:rPr>
      </w:pPr>
      <w:proofErr w:type="gramStart"/>
      <w:r>
        <w:rPr>
          <w:rFonts w:ascii="Trebuchet MS" w:hAnsi="Trebuchet MS"/>
          <w:color w:val="22252D"/>
          <w:sz w:val="18"/>
          <w:szCs w:val="18"/>
        </w:rPr>
        <w:t>Понятие коррупции определено Федеральным законом от 25 декабря 2008 г. № 273-ФЗ «О противодействии коррупции»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>
        <w:rPr>
          <w:rFonts w:ascii="Trebuchet MS" w:hAnsi="Trebuchet MS"/>
          <w:color w:val="22252D"/>
          <w:sz w:val="18"/>
          <w:szCs w:val="18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D1F51" w:rsidRDefault="000D1F51" w:rsidP="000D1F51">
      <w:pPr>
        <w:pStyle w:val="a6"/>
        <w:shd w:val="clear" w:color="auto" w:fill="F3F3F3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D1F51" w:rsidRDefault="000D1F51" w:rsidP="000D1F5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по предупреждению коррупции, в том числе по выявлению и последующему устранению причин коррупции;</w:t>
      </w:r>
    </w:p>
    <w:p w:rsidR="000D1F51" w:rsidRDefault="000D1F51" w:rsidP="000D1F5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по выявлению, предупреждению, пресечению, раскрытию и расследованию коррупционных правонарушений;</w:t>
      </w:r>
    </w:p>
    <w:p w:rsidR="000D1F51" w:rsidRDefault="000D1F51" w:rsidP="000D1F51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0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>по минимизации и (или) ликвидации последствий коррупционных правонарушений.</w:t>
      </w:r>
    </w:p>
    <w:p w:rsidR="000D1F51" w:rsidRDefault="000D1F51" w:rsidP="000D1F51">
      <w:pPr>
        <w:pStyle w:val="a6"/>
        <w:shd w:val="clear" w:color="auto" w:fill="F3F3F3"/>
        <w:jc w:val="both"/>
        <w:rPr>
          <w:rFonts w:ascii="Trebuchet MS" w:hAnsi="Trebuchet MS"/>
          <w:color w:val="22252D"/>
          <w:sz w:val="18"/>
          <w:szCs w:val="18"/>
        </w:rPr>
      </w:pPr>
      <w:r>
        <w:rPr>
          <w:rFonts w:ascii="Trebuchet MS" w:hAnsi="Trebuchet MS"/>
          <w:color w:val="22252D"/>
          <w:sz w:val="18"/>
          <w:szCs w:val="18"/>
        </w:rPr>
        <w:t xml:space="preserve">За последние годы в Российской Федерации было создано </w:t>
      </w:r>
      <w:proofErr w:type="spellStart"/>
      <w:r>
        <w:rPr>
          <w:rFonts w:ascii="Trebuchet MS" w:hAnsi="Trebuchet MS"/>
          <w:color w:val="22252D"/>
          <w:sz w:val="18"/>
          <w:szCs w:val="18"/>
        </w:rPr>
        <w:t>антикоррупционное</w:t>
      </w:r>
      <w:proofErr w:type="spellEnd"/>
      <w:r>
        <w:rPr>
          <w:rFonts w:ascii="Trebuchet MS" w:hAnsi="Trebuchet MS"/>
          <w:color w:val="22252D"/>
          <w:sz w:val="18"/>
          <w:szCs w:val="18"/>
        </w:rPr>
        <w:t xml:space="preserve">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коррупции.</w:t>
      </w:r>
    </w:p>
    <w:p w:rsidR="000D1F51" w:rsidRDefault="000D1F51" w:rsidP="000D1F51">
      <w:r>
        <w:rPr>
          <w:noProof/>
          <w:lang w:eastAsia="ru-RU"/>
        </w:rPr>
        <w:drawing>
          <wp:inline distT="0" distB="0" distL="0" distR="0">
            <wp:extent cx="5939790" cy="4335436"/>
            <wp:effectExtent l="19050" t="0" r="3810" b="0"/>
            <wp:docPr id="3" name="Рисунок 1" descr="dengi darit nelz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gi darit nelz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35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51" w:rsidRDefault="000D1F51" w:rsidP="000D1F51"/>
    <w:p w:rsidR="000D1F51" w:rsidRDefault="000D1F51" w:rsidP="00C95C8D">
      <w:pPr>
        <w:pStyle w:val="2"/>
        <w:shd w:val="clear" w:color="auto" w:fill="FFFFFF"/>
        <w:spacing w:before="0" w:beforeAutospacing="0" w:after="50" w:afterAutospacing="0" w:line="275" w:lineRule="atLeast"/>
        <w:rPr>
          <w:rFonts w:ascii="RobotoMedium" w:hAnsi="RobotoMedium"/>
          <w:b w:val="0"/>
          <w:bCs w:val="0"/>
          <w:color w:val="383838"/>
          <w:spacing w:val="4"/>
          <w:sz w:val="20"/>
          <w:szCs w:val="20"/>
        </w:rPr>
      </w:pPr>
    </w:p>
    <w:p w:rsidR="000D1F51" w:rsidRDefault="000D1F51" w:rsidP="00C95C8D">
      <w:pPr>
        <w:pStyle w:val="2"/>
        <w:shd w:val="clear" w:color="auto" w:fill="FFFFFF"/>
        <w:spacing w:before="0" w:beforeAutospacing="0" w:after="50" w:afterAutospacing="0" w:line="275" w:lineRule="atLeast"/>
        <w:rPr>
          <w:rFonts w:ascii="RobotoMedium" w:hAnsi="RobotoMedium"/>
          <w:b w:val="0"/>
          <w:bCs w:val="0"/>
          <w:color w:val="383838"/>
          <w:spacing w:val="4"/>
          <w:sz w:val="20"/>
          <w:szCs w:val="20"/>
        </w:rPr>
      </w:pPr>
    </w:p>
    <w:p w:rsidR="000D1F51" w:rsidRDefault="000D1F51" w:rsidP="00C95C8D">
      <w:pPr>
        <w:pStyle w:val="2"/>
        <w:shd w:val="clear" w:color="auto" w:fill="FFFFFF"/>
        <w:spacing w:before="0" w:beforeAutospacing="0" w:after="50" w:afterAutospacing="0" w:line="275" w:lineRule="atLeast"/>
        <w:rPr>
          <w:rFonts w:ascii="RobotoMedium" w:hAnsi="RobotoMedium"/>
          <w:b w:val="0"/>
          <w:bCs w:val="0"/>
          <w:color w:val="383838"/>
          <w:spacing w:val="4"/>
          <w:sz w:val="20"/>
          <w:szCs w:val="20"/>
        </w:rPr>
      </w:pPr>
    </w:p>
    <w:p w:rsidR="00C95C8D" w:rsidRPr="00C95C8D" w:rsidRDefault="00C95C8D" w:rsidP="00C95C8D">
      <w:pPr>
        <w:pStyle w:val="2"/>
        <w:shd w:val="clear" w:color="auto" w:fill="FFFFFF"/>
        <w:spacing w:before="0" w:beforeAutospacing="0" w:after="50" w:afterAutospacing="0" w:line="275" w:lineRule="atLeast"/>
        <w:rPr>
          <w:sz w:val="24"/>
          <w:szCs w:val="24"/>
        </w:rPr>
      </w:pPr>
      <w:r w:rsidRPr="00C95C8D">
        <w:rPr>
          <w:rFonts w:ascii="RobotoMedium" w:hAnsi="RobotoMedium"/>
          <w:b w:val="0"/>
          <w:bCs w:val="0"/>
          <w:color w:val="383838"/>
          <w:spacing w:val="4"/>
          <w:sz w:val="20"/>
          <w:szCs w:val="20"/>
        </w:rPr>
        <w:t>Памятки "Что нужно знать о коррупции"</w:t>
      </w:r>
    </w:p>
    <w:p w:rsidR="00C95C8D" w:rsidRPr="00C95C8D" w:rsidRDefault="005B7AAB" w:rsidP="00C95C8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hyperlink r:id="rId7" w:tgtFrame="_blank" w:history="1">
        <w:r w:rsidR="00C95C8D">
          <w:rPr>
            <w:rFonts w:ascii="Roboto" w:eastAsia="Times New Roman" w:hAnsi="Roboto" w:cs="Times New Roman"/>
            <w:noProof/>
            <w:color w:val="00AEEF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>
              <wp:extent cx="4230370" cy="2989580"/>
              <wp:effectExtent l="19050" t="0" r="0" b="0"/>
              <wp:docPr id="7" name="Рисунок 7" descr="https://genproc.gov.ru/img/anticor/what_to_know_1_small.jp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genproc.gov.ru/img/anticor/what_to_know_1_small.jp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0370" cy="298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95C8D" w:rsidRPr="00C95C8D">
          <w:rPr>
            <w:rFonts w:ascii="Roboto" w:eastAsia="Times New Roman" w:hAnsi="Roboto" w:cs="Times New Roman"/>
            <w:color w:val="00AEEF"/>
            <w:sz w:val="18"/>
            <w:lang w:eastAsia="ru-RU"/>
          </w:rPr>
          <w:t> </w:t>
        </w:r>
      </w:hyperlink>
      <w:r w:rsidR="000D1F51" w:rsidRPr="000D1F51">
        <w:drawing>
          <wp:inline distT="0" distB="0" distL="0" distR="0">
            <wp:extent cx="4230370" cy="2989580"/>
            <wp:effectExtent l="19050" t="0" r="0" b="0"/>
            <wp:docPr id="2" name="Рисунок 8" descr="https://genproc.gov.ru/img/anticor/what_to_know_2_small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enproc.gov.ru/img/anticor/what_to_know_2_small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C95C8D" w:rsidRPr="00C95C8D">
          <w:rPr>
            <w:rFonts w:ascii="Roboto" w:eastAsia="Times New Roman" w:hAnsi="Roboto" w:cs="Times New Roman"/>
            <w:color w:val="00AEEF"/>
            <w:sz w:val="18"/>
            <w:lang w:eastAsia="ru-RU"/>
          </w:rPr>
          <w:t> </w:t>
        </w:r>
      </w:hyperlink>
      <w:hyperlink r:id="rId12" w:tgtFrame="_blank" w:history="1">
        <w:r w:rsidR="00C95C8D">
          <w:rPr>
            <w:rFonts w:ascii="Roboto" w:eastAsia="Times New Roman" w:hAnsi="Roboto" w:cs="Times New Roman"/>
            <w:noProof/>
            <w:color w:val="00AEEF"/>
            <w:sz w:val="18"/>
            <w:szCs w:val="18"/>
            <w:bdr w:val="none" w:sz="0" w:space="0" w:color="auto" w:frame="1"/>
            <w:lang w:eastAsia="ru-RU"/>
          </w:rPr>
          <w:drawing>
            <wp:inline distT="0" distB="0" distL="0" distR="0">
              <wp:extent cx="4230370" cy="2989580"/>
              <wp:effectExtent l="19050" t="0" r="0" b="0"/>
              <wp:docPr id="9" name="Рисунок 9" descr="https://genproc.gov.ru/img/anticor/what_to_know_3_small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genproc.gov.ru/img/anticor/what_to_know_3_small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0370" cy="298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95C8D" w:rsidRPr="00C95C8D">
          <w:rPr>
            <w:rFonts w:ascii="Roboto" w:eastAsia="Times New Roman" w:hAnsi="Roboto" w:cs="Times New Roman"/>
            <w:color w:val="00AEEF"/>
            <w:sz w:val="18"/>
            <w:lang w:eastAsia="ru-RU"/>
          </w:rPr>
          <w:t> </w:t>
        </w:r>
      </w:hyperlink>
      <w:r w:rsidR="00C95C8D">
        <w:rPr>
          <w:rFonts w:ascii="Roboto" w:eastAsia="Times New Roman" w:hAnsi="Roboto" w:cs="Times New Roman"/>
          <w:noProof/>
          <w:color w:val="00AEE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4230370" cy="2989580"/>
            <wp:effectExtent l="19050" t="0" r="0" b="0"/>
            <wp:docPr id="10" name="Рисунок 10" descr="https://genproc.gov.ru/img/anticor/what_to_know_4_small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nproc.gov.ru/img/anticor/what_to_know_4_small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98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F51" w:rsidRDefault="000D1F51" w:rsidP="000D1F51">
      <w:pPr>
        <w:pStyle w:val="1"/>
        <w:shd w:val="clear" w:color="auto" w:fill="F3F3F3"/>
        <w:spacing w:before="0" w:after="125"/>
        <w:rPr>
          <w:rFonts w:ascii="Trebuchet MS" w:hAnsi="Trebuchet MS"/>
          <w:b w:val="0"/>
          <w:bCs w:val="0"/>
          <w:color w:val="22252D"/>
          <w:sz w:val="35"/>
          <w:szCs w:val="35"/>
        </w:rPr>
      </w:pPr>
    </w:p>
    <w:p w:rsidR="000F6C8E" w:rsidRDefault="000F6C8E"/>
    <w:p w:rsidR="000D1F51" w:rsidRDefault="000D1F51"/>
    <w:sectPr w:rsidR="000D1F51" w:rsidSect="00C95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74"/>
    <w:multiLevelType w:val="multilevel"/>
    <w:tmpl w:val="FFF2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C8D"/>
    <w:rsid w:val="000D1F51"/>
    <w:rsid w:val="000F6C8E"/>
    <w:rsid w:val="005B7AAB"/>
    <w:rsid w:val="00C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8E"/>
  </w:style>
  <w:style w:type="paragraph" w:styleId="1">
    <w:name w:val="heading 1"/>
    <w:basedOn w:val="a"/>
    <w:next w:val="a"/>
    <w:link w:val="10"/>
    <w:uiPriority w:val="9"/>
    <w:qFormat/>
    <w:rsid w:val="000D1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5C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C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5C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95C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1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D1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8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genproc.gov.ru/img/anticor/what_to_know_1.jpg" TargetMode="External"/><Relationship Id="rId12" Type="http://schemas.openxmlformats.org/officeDocument/2006/relationships/hyperlink" Target="https://genproc.gov.ru/img/anticor/what_to_know_3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enproc.gov.ru/img/anticor/what_to_know_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genproc.gov.ru/img/anticor/what_to_know_2.jpg" TargetMode="External"/><Relationship Id="rId14" Type="http://schemas.openxmlformats.org/officeDocument/2006/relationships/hyperlink" Target="https://genproc.gov.ru/img/anticor/what_to_know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6A8E-0221-4D48-B9A2-A6968A8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4</cp:revision>
  <dcterms:created xsi:type="dcterms:W3CDTF">2021-02-10T05:23:00Z</dcterms:created>
  <dcterms:modified xsi:type="dcterms:W3CDTF">2021-02-10T06:00:00Z</dcterms:modified>
</cp:coreProperties>
</file>